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81C" w:rsidRDefault="000B2E5E" w:rsidP="00470A33">
      <w:pPr>
        <w:jc w:val="center"/>
        <w:rPr>
          <w:rFonts w:asciiTheme="majorEastAsia" w:eastAsiaTheme="majorEastAsia" w:hAnsiTheme="majorEastAsia"/>
          <w:b/>
          <w:sz w:val="36"/>
        </w:rPr>
      </w:pPr>
      <w:r w:rsidRPr="00470A33">
        <w:rPr>
          <w:rFonts w:asciiTheme="majorEastAsia" w:eastAsiaTheme="majorEastAsia" w:hAnsiTheme="majorEastAsia" w:hint="eastAsia"/>
          <w:b/>
          <w:sz w:val="36"/>
        </w:rPr>
        <w:t>上海恒信电脑软件有限公司</w:t>
      </w:r>
    </w:p>
    <w:p w:rsidR="00C131EA" w:rsidRPr="00470A33" w:rsidRDefault="007E6D48" w:rsidP="00470A33">
      <w:pPr>
        <w:jc w:val="center"/>
        <w:rPr>
          <w:rFonts w:asciiTheme="majorEastAsia" w:eastAsiaTheme="majorEastAsia" w:hAnsiTheme="majorEastAsia"/>
          <w:b/>
          <w:sz w:val="36"/>
        </w:rPr>
      </w:pPr>
      <w:r>
        <w:rPr>
          <w:rFonts w:asciiTheme="majorEastAsia" w:eastAsiaTheme="majorEastAsia" w:hAnsiTheme="majorEastAsia" w:hint="eastAsia"/>
          <w:b/>
          <w:sz w:val="36"/>
        </w:rPr>
        <w:t>恒信软件</w:t>
      </w:r>
      <w:bookmarkStart w:id="0" w:name="_GoBack"/>
      <w:bookmarkEnd w:id="0"/>
      <w:r w:rsidR="00A42433">
        <w:rPr>
          <w:rFonts w:asciiTheme="majorEastAsia" w:eastAsiaTheme="majorEastAsia" w:hAnsiTheme="majorEastAsia" w:hint="eastAsia"/>
          <w:b/>
          <w:sz w:val="36"/>
        </w:rPr>
        <w:t>许可协议</w:t>
      </w:r>
    </w:p>
    <w:p w:rsidR="00D95F3D" w:rsidRPr="00D95F3D" w:rsidRDefault="00D95F3D" w:rsidP="00D95F3D">
      <w:pPr>
        <w:ind w:right="420"/>
        <w:jc w:val="center"/>
        <w:rPr>
          <w:szCs w:val="21"/>
        </w:rPr>
      </w:pPr>
    </w:p>
    <w:p w:rsidR="0073299B" w:rsidRPr="00D95F3D" w:rsidRDefault="00D95F3D" w:rsidP="00D95F3D">
      <w:pPr>
        <w:rPr>
          <w:sz w:val="20"/>
          <w:szCs w:val="21"/>
        </w:rPr>
      </w:pPr>
      <w:r w:rsidRPr="00D95F3D">
        <w:rPr>
          <w:rFonts w:hint="eastAsia"/>
          <w:sz w:val="20"/>
          <w:szCs w:val="21"/>
        </w:rPr>
        <w:t>请务必仔细阅读和理解此软件最终用户许可协议（“本《协议》”）中规定的所有权利和限制。</w:t>
      </w:r>
    </w:p>
    <w:p w:rsidR="00D95F3D" w:rsidRPr="00D95F3D" w:rsidRDefault="00D95F3D" w:rsidP="00D95F3D">
      <w:pPr>
        <w:rPr>
          <w:szCs w:val="21"/>
        </w:rPr>
      </w:pPr>
    </w:p>
    <w:p w:rsidR="00D95F3D" w:rsidRPr="00D95F3D" w:rsidRDefault="00D95F3D" w:rsidP="00D95F3D">
      <w:pPr>
        <w:rPr>
          <w:szCs w:val="21"/>
        </w:rPr>
      </w:pPr>
      <w:r w:rsidRPr="00D95F3D">
        <w:rPr>
          <w:rFonts w:hint="eastAsia"/>
          <w:szCs w:val="21"/>
        </w:rPr>
        <w:t>在安装本“软件”时，您需要仔细阅读并决定接受或不接受本《协议》的条款。除非或直至您接受本《协议》的全部条款，否则</w:t>
      </w:r>
      <w:proofErr w:type="gramStart"/>
      <w:r w:rsidRPr="00D95F3D">
        <w:rPr>
          <w:rFonts w:hint="eastAsia"/>
          <w:szCs w:val="21"/>
        </w:rPr>
        <w:t>您不得</w:t>
      </w:r>
      <w:proofErr w:type="gramEnd"/>
      <w:r w:rsidRPr="00D95F3D">
        <w:rPr>
          <w:rFonts w:hint="eastAsia"/>
          <w:szCs w:val="21"/>
        </w:rPr>
        <w:t>将本“软件”安装在任何计算机上。同时您在使用本“软件”时还需同时遵守为使您有权使用本“软件”而与</w:t>
      </w:r>
      <w:r>
        <w:rPr>
          <w:rFonts w:hint="eastAsia"/>
          <w:szCs w:val="21"/>
        </w:rPr>
        <w:t>恒信软件</w:t>
      </w:r>
      <w:r w:rsidRPr="00D95F3D">
        <w:rPr>
          <w:rFonts w:hint="eastAsia"/>
          <w:szCs w:val="21"/>
        </w:rPr>
        <w:t>签订的其他协议（如有）或为证明您有权使用本“软件”而由</w:t>
      </w:r>
      <w:r>
        <w:rPr>
          <w:rFonts w:hint="eastAsia"/>
          <w:szCs w:val="21"/>
        </w:rPr>
        <w:t>恒信软件</w:t>
      </w:r>
      <w:r w:rsidRPr="00D95F3D">
        <w:rPr>
          <w:rFonts w:hint="eastAsia"/>
          <w:szCs w:val="21"/>
        </w:rPr>
        <w:t>出具的授权文件（如有）中的全部条款和条件。</w:t>
      </w:r>
      <w:r w:rsidR="006D2BA1">
        <w:rPr>
          <w:rFonts w:hint="eastAsia"/>
          <w:szCs w:val="21"/>
        </w:rPr>
        <w:t>具体协议内容如下：</w:t>
      </w:r>
    </w:p>
    <w:p w:rsidR="0073299B" w:rsidRPr="00BD23C5" w:rsidRDefault="0073299B" w:rsidP="0073299B">
      <w:pPr>
        <w:numPr>
          <w:ilvl w:val="0"/>
          <w:numId w:val="1"/>
        </w:numPr>
        <w:rPr>
          <w:szCs w:val="21"/>
        </w:rPr>
      </w:pPr>
      <w:r w:rsidRPr="00BD23C5">
        <w:rPr>
          <w:rFonts w:hint="eastAsia"/>
          <w:b/>
          <w:szCs w:val="21"/>
        </w:rPr>
        <w:t>使用权</w:t>
      </w:r>
      <w:r w:rsidRPr="00BD23C5">
        <w:rPr>
          <w:szCs w:val="21"/>
        </w:rPr>
        <w:t xml:space="preserve"> </w:t>
      </w:r>
    </w:p>
    <w:p w:rsidR="0073299B" w:rsidRPr="00BD23C5" w:rsidRDefault="0073299B" w:rsidP="0073299B">
      <w:pPr>
        <w:rPr>
          <w:szCs w:val="21"/>
        </w:rPr>
      </w:pPr>
      <w:r w:rsidRPr="00BD23C5">
        <w:rPr>
          <w:rFonts w:hint="eastAsia"/>
          <w:szCs w:val="21"/>
        </w:rPr>
        <w:t>客户有权在计算机上安装本软件，并在业务范围内使用本软件，再现本软件具有的全部功能。</w:t>
      </w:r>
    </w:p>
    <w:p w:rsidR="0073299B" w:rsidRPr="00BD23C5" w:rsidRDefault="0073299B" w:rsidP="0073299B">
      <w:pPr>
        <w:numPr>
          <w:ilvl w:val="0"/>
          <w:numId w:val="1"/>
        </w:numPr>
        <w:rPr>
          <w:szCs w:val="21"/>
        </w:rPr>
      </w:pPr>
      <w:r w:rsidRPr="00BD23C5">
        <w:rPr>
          <w:rFonts w:hint="eastAsia"/>
          <w:b/>
          <w:szCs w:val="21"/>
        </w:rPr>
        <w:t>技术支持</w:t>
      </w:r>
      <w:r w:rsidRPr="00BD23C5">
        <w:rPr>
          <w:szCs w:val="21"/>
        </w:rPr>
        <w:t xml:space="preserve"> </w:t>
      </w:r>
    </w:p>
    <w:p w:rsidR="0073299B" w:rsidRPr="00BD23C5" w:rsidRDefault="0073299B" w:rsidP="0073299B">
      <w:pPr>
        <w:rPr>
          <w:szCs w:val="21"/>
        </w:rPr>
      </w:pPr>
      <w:r w:rsidRPr="00BD23C5">
        <w:rPr>
          <w:rFonts w:hint="eastAsia"/>
          <w:szCs w:val="21"/>
        </w:rPr>
        <w:t>客户有权获得恒信软件的全面的技术支持。对于本软件在安装使用过程中产生的任何疑问、问题，客户均有权向恒信软件提出并要求恒信软件给予解答或解决。</w:t>
      </w:r>
    </w:p>
    <w:p w:rsidR="0073299B" w:rsidRPr="00BD23C5" w:rsidRDefault="0073299B" w:rsidP="0073299B">
      <w:pPr>
        <w:numPr>
          <w:ilvl w:val="0"/>
          <w:numId w:val="1"/>
        </w:numPr>
        <w:rPr>
          <w:szCs w:val="21"/>
        </w:rPr>
      </w:pPr>
      <w:r w:rsidRPr="00BD23C5">
        <w:rPr>
          <w:rFonts w:hint="eastAsia"/>
          <w:b/>
          <w:szCs w:val="21"/>
        </w:rPr>
        <w:t>版本升级</w:t>
      </w:r>
      <w:r w:rsidRPr="00BD23C5">
        <w:rPr>
          <w:szCs w:val="21"/>
        </w:rPr>
        <w:t xml:space="preserve"> </w:t>
      </w:r>
    </w:p>
    <w:p w:rsidR="0073299B" w:rsidRPr="00BD23C5" w:rsidRDefault="0073299B" w:rsidP="0073299B">
      <w:pPr>
        <w:rPr>
          <w:szCs w:val="21"/>
        </w:rPr>
      </w:pPr>
      <w:r w:rsidRPr="00BD23C5">
        <w:rPr>
          <w:rFonts w:hint="eastAsia"/>
          <w:szCs w:val="21"/>
        </w:rPr>
        <w:t>根据实际需要，客户有权获得本软件的各个升级版本的使用权。但须支付适当的版本升级费用。</w:t>
      </w:r>
    </w:p>
    <w:p w:rsidR="0073299B" w:rsidRPr="00BD23C5" w:rsidRDefault="0073299B" w:rsidP="0073299B">
      <w:pPr>
        <w:numPr>
          <w:ilvl w:val="0"/>
          <w:numId w:val="1"/>
        </w:numPr>
        <w:rPr>
          <w:szCs w:val="21"/>
        </w:rPr>
      </w:pPr>
      <w:r w:rsidRPr="00BD23C5">
        <w:rPr>
          <w:rFonts w:hint="eastAsia"/>
          <w:b/>
          <w:szCs w:val="21"/>
        </w:rPr>
        <w:t>一般限制</w:t>
      </w:r>
      <w:r w:rsidRPr="00BD23C5">
        <w:rPr>
          <w:szCs w:val="21"/>
        </w:rPr>
        <w:t xml:space="preserve"> </w:t>
      </w:r>
    </w:p>
    <w:p w:rsidR="0073299B" w:rsidRPr="00BD23C5" w:rsidRDefault="0073299B" w:rsidP="0073299B">
      <w:pPr>
        <w:rPr>
          <w:szCs w:val="21"/>
        </w:rPr>
      </w:pPr>
      <w:r w:rsidRPr="00BD23C5">
        <w:rPr>
          <w:rFonts w:hint="eastAsia"/>
          <w:szCs w:val="21"/>
        </w:rPr>
        <w:t>客户对本软件的使用权仅限于再现本软件本身具有的功能，客户无权擅自修改本软件，也无权对本软件进行反向工程、反编译或反汇编。</w:t>
      </w:r>
    </w:p>
    <w:p w:rsidR="0073299B" w:rsidRPr="00BD23C5" w:rsidRDefault="0073299B" w:rsidP="0073299B">
      <w:pPr>
        <w:numPr>
          <w:ilvl w:val="0"/>
          <w:numId w:val="1"/>
        </w:numPr>
        <w:rPr>
          <w:szCs w:val="21"/>
        </w:rPr>
      </w:pPr>
      <w:r w:rsidRPr="00BD23C5">
        <w:rPr>
          <w:rFonts w:hint="eastAsia"/>
          <w:b/>
          <w:szCs w:val="21"/>
        </w:rPr>
        <w:t>使用</w:t>
      </w:r>
    </w:p>
    <w:p w:rsidR="0073299B" w:rsidRPr="00BD23C5" w:rsidRDefault="0073299B" w:rsidP="0073299B">
      <w:pPr>
        <w:rPr>
          <w:b/>
          <w:szCs w:val="21"/>
        </w:rPr>
      </w:pPr>
      <w:r w:rsidRPr="00BD23C5">
        <w:rPr>
          <w:rFonts w:hint="eastAsia"/>
          <w:szCs w:val="21"/>
        </w:rPr>
        <w:t>对本软件的使用权范围仅限于客户单位本身。客户无权以转让、许可、出租、租赁、出借、赠与或其它任何方式向任何第三方提供本软件或其复制件或其中任何部分，无论这种提供是否出于商业目的。</w:t>
      </w:r>
    </w:p>
    <w:p w:rsidR="0073299B" w:rsidRPr="00BD23C5" w:rsidRDefault="0073299B" w:rsidP="0073299B">
      <w:pPr>
        <w:numPr>
          <w:ilvl w:val="0"/>
          <w:numId w:val="1"/>
        </w:numPr>
        <w:rPr>
          <w:szCs w:val="21"/>
        </w:rPr>
      </w:pPr>
      <w:r w:rsidRPr="00BD23C5">
        <w:rPr>
          <w:rFonts w:hint="eastAsia"/>
          <w:b/>
          <w:szCs w:val="21"/>
        </w:rPr>
        <w:t>知识产权和保密</w:t>
      </w:r>
      <w:r w:rsidRPr="00BD23C5">
        <w:rPr>
          <w:szCs w:val="21"/>
        </w:rPr>
        <w:t xml:space="preserve"> </w:t>
      </w:r>
    </w:p>
    <w:p w:rsidR="0073299B" w:rsidRPr="00BD23C5" w:rsidRDefault="0073299B" w:rsidP="0073299B">
      <w:pPr>
        <w:rPr>
          <w:szCs w:val="21"/>
        </w:rPr>
      </w:pPr>
      <w:r w:rsidRPr="00BD23C5">
        <w:rPr>
          <w:rFonts w:hint="eastAsia"/>
          <w:szCs w:val="21"/>
        </w:rPr>
        <w:t>本软件的版权和可能涉及的恒信软件的商标权、专利权、专有技术和其他权利，其</w:t>
      </w:r>
      <w:proofErr w:type="gramStart"/>
      <w:r w:rsidRPr="00BD23C5">
        <w:rPr>
          <w:rFonts w:hint="eastAsia"/>
          <w:szCs w:val="21"/>
        </w:rPr>
        <w:t>所有权归恒信</w:t>
      </w:r>
      <w:proofErr w:type="gramEnd"/>
      <w:r w:rsidRPr="00BD23C5">
        <w:rPr>
          <w:rFonts w:hint="eastAsia"/>
          <w:szCs w:val="21"/>
        </w:rPr>
        <w:t>软件。客户对其中出现的权利标识应妥善保留，不能擅自进行删剪或修改。客户拥有授权范围内的使用权，但没有转让或许可他人使用的权利。对于涉及恒信软件技术秘密的内容，客户还负有保密的义务。</w:t>
      </w:r>
    </w:p>
    <w:p w:rsidR="0073299B" w:rsidRPr="00BD23C5" w:rsidRDefault="0073299B" w:rsidP="0073299B">
      <w:pPr>
        <w:numPr>
          <w:ilvl w:val="0"/>
          <w:numId w:val="1"/>
        </w:numPr>
        <w:rPr>
          <w:szCs w:val="21"/>
        </w:rPr>
      </w:pPr>
      <w:r w:rsidRPr="00BD23C5">
        <w:rPr>
          <w:rFonts w:hint="eastAsia"/>
          <w:b/>
          <w:szCs w:val="21"/>
        </w:rPr>
        <w:t>其它</w:t>
      </w:r>
      <w:r w:rsidRPr="00BD23C5">
        <w:rPr>
          <w:szCs w:val="21"/>
        </w:rPr>
        <w:t xml:space="preserve"> </w:t>
      </w:r>
    </w:p>
    <w:p w:rsidR="0073299B" w:rsidRDefault="0073299B" w:rsidP="0073299B">
      <w:pPr>
        <w:rPr>
          <w:szCs w:val="21"/>
        </w:rPr>
      </w:pPr>
      <w:r w:rsidRPr="00BD23C5">
        <w:rPr>
          <w:rFonts w:hint="eastAsia"/>
          <w:szCs w:val="21"/>
        </w:rPr>
        <w:t>本软件许可协议的未尽事宜，由双方其它协议或另行协商约定。本软件许可协议适用中华人民共和国有关法律。</w:t>
      </w:r>
    </w:p>
    <w:p w:rsidR="00384BF4" w:rsidRDefault="00384BF4" w:rsidP="0073299B">
      <w:pPr>
        <w:rPr>
          <w:szCs w:val="21"/>
        </w:rPr>
      </w:pPr>
    </w:p>
    <w:p w:rsidR="00384BF4" w:rsidRDefault="00384BF4" w:rsidP="0073299B">
      <w:pPr>
        <w:rPr>
          <w:szCs w:val="21"/>
        </w:rPr>
      </w:pPr>
    </w:p>
    <w:p w:rsidR="001554CB" w:rsidRPr="001554CB" w:rsidRDefault="001554CB" w:rsidP="0073299B">
      <w:pPr>
        <w:rPr>
          <w:szCs w:val="21"/>
        </w:rPr>
      </w:pPr>
    </w:p>
    <w:p w:rsidR="00384BF4" w:rsidRDefault="00384BF4" w:rsidP="0073299B">
      <w:pPr>
        <w:rPr>
          <w:szCs w:val="21"/>
        </w:rPr>
      </w:pPr>
    </w:p>
    <w:p w:rsidR="00384BF4" w:rsidRDefault="00384BF4" w:rsidP="0073299B">
      <w:pPr>
        <w:rPr>
          <w:szCs w:val="21"/>
        </w:rPr>
      </w:pPr>
    </w:p>
    <w:p w:rsidR="0073299B" w:rsidRPr="00BD23C5" w:rsidRDefault="0073299B" w:rsidP="0073299B">
      <w:pPr>
        <w:rPr>
          <w:szCs w:val="21"/>
        </w:rPr>
      </w:pPr>
    </w:p>
    <w:p w:rsidR="0073299B" w:rsidRPr="0073299B" w:rsidRDefault="0073299B" w:rsidP="00470A33">
      <w:pPr>
        <w:ind w:right="420"/>
        <w:jc w:val="left"/>
        <w:rPr>
          <w:u w:val="single"/>
        </w:rPr>
      </w:pPr>
    </w:p>
    <w:sectPr w:rsidR="0073299B" w:rsidRPr="0073299B" w:rsidSect="0073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881" w:rsidRDefault="00117881" w:rsidP="00A42433">
      <w:r>
        <w:separator/>
      </w:r>
    </w:p>
  </w:endnote>
  <w:endnote w:type="continuationSeparator" w:id="0">
    <w:p w:rsidR="00117881" w:rsidRDefault="00117881" w:rsidP="00A4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881" w:rsidRDefault="00117881" w:rsidP="00A42433">
      <w:r>
        <w:separator/>
      </w:r>
    </w:p>
  </w:footnote>
  <w:footnote w:type="continuationSeparator" w:id="0">
    <w:p w:rsidR="00117881" w:rsidRDefault="00117881" w:rsidP="00A42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B14ED"/>
    <w:multiLevelType w:val="hybridMultilevel"/>
    <w:tmpl w:val="BBF09C54"/>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5E"/>
    <w:rsid w:val="00033FD2"/>
    <w:rsid w:val="000354D0"/>
    <w:rsid w:val="000B2E5E"/>
    <w:rsid w:val="00117881"/>
    <w:rsid w:val="00135075"/>
    <w:rsid w:val="001554CB"/>
    <w:rsid w:val="001E51D3"/>
    <w:rsid w:val="00290113"/>
    <w:rsid w:val="002C0820"/>
    <w:rsid w:val="002F799E"/>
    <w:rsid w:val="00374BC7"/>
    <w:rsid w:val="00384BF4"/>
    <w:rsid w:val="003C025D"/>
    <w:rsid w:val="003D6B7B"/>
    <w:rsid w:val="003E482A"/>
    <w:rsid w:val="00470A33"/>
    <w:rsid w:val="004A733F"/>
    <w:rsid w:val="00585DB9"/>
    <w:rsid w:val="005F22EB"/>
    <w:rsid w:val="00661D76"/>
    <w:rsid w:val="006D2BA1"/>
    <w:rsid w:val="0073299B"/>
    <w:rsid w:val="007E6D48"/>
    <w:rsid w:val="009D21C9"/>
    <w:rsid w:val="00A42433"/>
    <w:rsid w:val="00B365E8"/>
    <w:rsid w:val="00B42462"/>
    <w:rsid w:val="00B60DAC"/>
    <w:rsid w:val="00CD0E9E"/>
    <w:rsid w:val="00CD6193"/>
    <w:rsid w:val="00CE304B"/>
    <w:rsid w:val="00D6081C"/>
    <w:rsid w:val="00D95F3D"/>
    <w:rsid w:val="00DD7E44"/>
    <w:rsid w:val="00E75DAB"/>
    <w:rsid w:val="00FB0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299B"/>
    <w:pPr>
      <w:tabs>
        <w:tab w:val="center" w:pos="4320"/>
        <w:tab w:val="right" w:pos="8640"/>
      </w:tabs>
      <w:overflowPunct w:val="0"/>
      <w:autoSpaceDE w:val="0"/>
      <w:autoSpaceDN w:val="0"/>
      <w:adjustRightInd w:val="0"/>
      <w:jc w:val="left"/>
      <w:textAlignment w:val="baseline"/>
    </w:pPr>
    <w:rPr>
      <w:rFonts w:ascii="宋体" w:eastAsia="宋体" w:hAnsi="Times New Roman" w:cs="Times New Roman"/>
      <w:kern w:val="0"/>
      <w:sz w:val="20"/>
      <w:szCs w:val="20"/>
    </w:rPr>
  </w:style>
  <w:style w:type="character" w:customStyle="1" w:styleId="Char">
    <w:name w:val="页脚 Char"/>
    <w:basedOn w:val="a0"/>
    <w:link w:val="a3"/>
    <w:rsid w:val="0073299B"/>
    <w:rPr>
      <w:rFonts w:ascii="宋体" w:eastAsia="宋体" w:hAnsi="Times New Roman" w:cs="Times New Roman"/>
      <w:kern w:val="0"/>
      <w:sz w:val="20"/>
      <w:szCs w:val="20"/>
    </w:rPr>
  </w:style>
  <w:style w:type="character" w:styleId="a4">
    <w:name w:val="Strong"/>
    <w:basedOn w:val="a0"/>
    <w:uiPriority w:val="22"/>
    <w:qFormat/>
    <w:rsid w:val="00D95F3D"/>
    <w:rPr>
      <w:b/>
      <w:bCs/>
    </w:rPr>
  </w:style>
  <w:style w:type="paragraph" w:styleId="a5">
    <w:name w:val="header"/>
    <w:basedOn w:val="a"/>
    <w:link w:val="Char0"/>
    <w:uiPriority w:val="99"/>
    <w:unhideWhenUsed/>
    <w:rsid w:val="00A424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4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299B"/>
    <w:pPr>
      <w:tabs>
        <w:tab w:val="center" w:pos="4320"/>
        <w:tab w:val="right" w:pos="8640"/>
      </w:tabs>
      <w:overflowPunct w:val="0"/>
      <w:autoSpaceDE w:val="0"/>
      <w:autoSpaceDN w:val="0"/>
      <w:adjustRightInd w:val="0"/>
      <w:jc w:val="left"/>
      <w:textAlignment w:val="baseline"/>
    </w:pPr>
    <w:rPr>
      <w:rFonts w:ascii="宋体" w:eastAsia="宋体" w:hAnsi="Times New Roman" w:cs="Times New Roman"/>
      <w:kern w:val="0"/>
      <w:sz w:val="20"/>
      <w:szCs w:val="20"/>
    </w:rPr>
  </w:style>
  <w:style w:type="character" w:customStyle="1" w:styleId="Char">
    <w:name w:val="页脚 Char"/>
    <w:basedOn w:val="a0"/>
    <w:link w:val="a3"/>
    <w:rsid w:val="0073299B"/>
    <w:rPr>
      <w:rFonts w:ascii="宋体" w:eastAsia="宋体" w:hAnsi="Times New Roman" w:cs="Times New Roman"/>
      <w:kern w:val="0"/>
      <w:sz w:val="20"/>
      <w:szCs w:val="20"/>
    </w:rPr>
  </w:style>
  <w:style w:type="character" w:styleId="a4">
    <w:name w:val="Strong"/>
    <w:basedOn w:val="a0"/>
    <w:uiPriority w:val="22"/>
    <w:qFormat/>
    <w:rsid w:val="00D95F3D"/>
    <w:rPr>
      <w:b/>
      <w:bCs/>
    </w:rPr>
  </w:style>
  <w:style w:type="paragraph" w:styleId="a5">
    <w:name w:val="header"/>
    <w:basedOn w:val="a"/>
    <w:link w:val="Char0"/>
    <w:uiPriority w:val="99"/>
    <w:unhideWhenUsed/>
    <w:rsid w:val="00A4243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A424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Words>
  <Characters>660</Characters>
  <Application>Microsoft Office Word</Application>
  <DocSecurity>0</DocSecurity>
  <Lines>5</Lines>
  <Paragraphs>1</Paragraphs>
  <ScaleCrop>false</ScaleCrop>
  <Company>trusthx</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wx</dc:creator>
  <cp:lastModifiedBy>吴佳欣</cp:lastModifiedBy>
  <cp:revision>6</cp:revision>
  <dcterms:created xsi:type="dcterms:W3CDTF">2019-04-22T08:56:00Z</dcterms:created>
  <dcterms:modified xsi:type="dcterms:W3CDTF">2019-10-31T03:16:00Z</dcterms:modified>
</cp:coreProperties>
</file>